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scherzerthesis/thesis@f026712</w:t>
        </w:r>
      </w:hyperlink>
      <w:r>
        <w:t xml:space="preserve"> </w:t>
      </w:r>
      <w:r>
        <w:t xml:space="preserve">on March 28,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w:t>
      </w:r>
      <w:r>
        <w:t xml:space="preserve"> </w:t>
      </w:r>
      <w:r>
        <w:rPr>
          <w:iCs/>
          <w:i/>
        </w:rPr>
        <w:t xml:space="preserve">et al.</w:t>
      </w:r>
      <w:r>
        <w:t xml:space="preserve">, 2007)</w:t>
      </w:r>
      <w:r>
        <w:t xml:space="preserve">. However, tumor fails to progress past adenoma-like tumors.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 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46"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 While understanding which altered genes play causal roles in tumor formation and progression is required for personalized medicine, the noisy mutation profiles in lung adenocarcinoma makes it hard to do so. However, it is clear that there is a central role for the MAPK pathway during the initiation and progression of lung adenocarcinoma</w:t>
      </w:r>
      <w:r>
        <w:t xml:space="preserve"> </w:t>
      </w:r>
      <w:r>
        <w:t xml:space="preserve">(Cicchini</w:t>
      </w:r>
      <w:r>
        <w:t xml:space="preserve"> </w:t>
      </w:r>
      <w:r>
        <w:rPr>
          <w:iCs/>
          <w:i/>
        </w:rPr>
        <w:t xml:space="preserve">et al.</w:t>
      </w:r>
      <w:r>
        <w:t xml:space="preserve">, 2017)</w:t>
      </w:r>
      <w:r>
        <w:t xml:space="preserve">. Oncogenic BRAF</w:t>
      </w:r>
      <w:r>
        <w:rPr>
          <w:vertAlign w:val="superscript"/>
        </w:rPr>
        <w:t xml:space="preserve">V600E</w:t>
      </w:r>
      <w:r>
        <w:t xml:space="preserve"> </w:t>
      </w:r>
      <w:r>
        <w:t xml:space="preserve">is a major driver of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GEMMs.Therefore, we sought out to systematically test a variety of known tumor suppressors in lung adenocarcinoma. Furthermore,untilnow,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With Tuba-Seq, we accurately discerned the absolute size of all BRAF</w:t>
      </w:r>
      <w:r>
        <w:rPr>
          <w:vertAlign w:val="superscript"/>
        </w:rPr>
        <w:t xml:space="preserve">V600E</w:t>
      </w:r>
      <w:r>
        <w:t xml:space="preserve"> </w:t>
      </w:r>
      <w:r>
        <w:t xml:space="preserve">lung adenomas, regardless of size. 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 This heterogenous reponse to BRAF</w:t>
      </w:r>
      <w:r>
        <w:rPr>
          <w:vertAlign w:val="superscript"/>
        </w:rPr>
        <w:t xml:space="preserve">V600E</w:t>
      </w:r>
      <w:r>
        <w:t xml:space="preserve"> </w:t>
      </w:r>
      <w:r>
        <w:t xml:space="preserve">activation likely reflects intrinisic differences between individual cell states. Indeed, tumorigenic potential can vary greatly due to different cell types (AT2 vs Club cell vs AT1), or can be influenced by subtle differences within a cell type, such proximity to supporting stromal cells such as fibroblast or immune cells. 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 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 Therefore, both APC and SETD2 are bona fide tumor suppressors in lung adenocarinoma. APC loss is known to activate the Wnt-signaling pathway and is a well establish tumor supressor in colon cancer</w:t>
      </w:r>
      <w:r>
        <w:t xml:space="preserve">(Powell</w:t>
      </w:r>
      <w:r>
        <w:t xml:space="preserve"> </w:t>
      </w:r>
      <w:r>
        <w:rPr>
          <w:iCs/>
          <w:i/>
        </w:rPr>
        <w:t xml:space="preserve">et al.</w:t>
      </w:r>
      <w:r>
        <w:t xml:space="preserve">, 1992)</w:t>
      </w:r>
      <w:r>
        <w:t xml:space="preserve">. Furthermore, our lab has previously published a requirement for WNT-signaling for progression of BRAF</w:t>
      </w:r>
      <w:r>
        <w:rPr>
          <w:vertAlign w:val="superscript"/>
        </w:rPr>
        <w:t xml:space="preserve">V600E</w:t>
      </w:r>
      <w:r>
        <w:t xml:space="preserve"> </w:t>
      </w:r>
      <w:r>
        <w:t xml:space="preserve">lung tumors</w:t>
      </w:r>
      <w:r>
        <w:t xml:space="preserve">(Juan</w:t>
      </w:r>
      <w:r>
        <w:t xml:space="preserve"> </w:t>
      </w:r>
      <w:r>
        <w:rPr>
          <w:iCs/>
          <w:i/>
        </w:rPr>
        <w:t xml:space="preserve">et al.</w:t>
      </w:r>
      <w:r>
        <w:t xml:space="preserve">, 2014)</w:t>
      </w:r>
      <w:r>
        <w:t xml:space="preserve">. Specifically, inhibition of WNT signaling by a Porcupine inhibitor prevent tumor onset, while constitutive activation of the pathway drive tumor progression to high grade. 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w:t>
      </w:r>
      <w:r>
        <w:t xml:space="preserve"> </w:t>
      </w:r>
      <w:r>
        <w:rPr>
          <w:iCs/>
          <w:i/>
        </w:rPr>
        <w:t xml:space="preserve">et al.</w:t>
      </w:r>
      <w:r>
        <w:t xml:space="preserve">, 2012)</w:t>
      </w:r>
      <w:r>
        <w:t xml:space="preserve">. SETD2 is a histone methyltransferase that deposits trimethylation marks on H3K36</w:t>
      </w:r>
      <w:r>
        <w:t xml:space="preserve">(Bhattacharya and Workman, 2020)</w:t>
      </w:r>
      <w:r>
        <w:t xml:space="preserve">. H3K36me</w:t>
      </w:r>
      <w:r>
        <w:rPr>
          <w:vertAlign w:val="superscript"/>
        </w:rPr>
        <w:t xml:space="preserve">3</w:t>
      </w:r>
      <w:r>
        <w:t xml:space="preserve"> </w:t>
      </w:r>
      <w:r>
        <w:t xml:space="preserve">is used by chromatin modifiers to mark actively trascribed genes</w:t>
      </w:r>
      <w:r>
        <w:t xml:space="preserve">(Edmunds</w:t>
      </w:r>
      <w:r>
        <w:t xml:space="preserve"> </w:t>
      </w:r>
      <w:r>
        <w:rPr>
          <w:iCs/>
          <w:i/>
        </w:rPr>
        <w:t xml:space="preserve">et al.</w:t>
      </w:r>
      <w:r>
        <w:t xml:space="preserve">, 2007)</w:t>
      </w:r>
      <w:r>
        <w:t xml:space="preserve">. Data 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 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 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 One hypothesis is that SETD2 loss drives spurious transcriptional activation. Similarily, Recent work by Monte Winslow and also David Feldser’s labs have indentified SETD2 loss as a cooperating event in KRAS-G12D lung tumorigenesis</w:t>
      </w:r>
      <w:r>
        <w:t xml:space="preserve">(Walter</w:t>
      </w:r>
      <w:r>
        <w:t xml:space="preserve"> </w:t>
      </w:r>
      <w:r>
        <w:rPr>
          <w:iCs/>
          <w:i/>
        </w:rPr>
        <w:t xml:space="preserve">et al.</w:t>
      </w:r>
      <w:r>
        <w:t xml:space="preserve">, 2017)</w:t>
      </w:r>
      <w:r>
        <w:t xml:space="preserve">. 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 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w:t>
      </w:r>
      <w:r>
        <w:t xml:space="preserve"> </w:t>
      </w:r>
      <w:r>
        <w:rPr>
          <w:iCs/>
          <w:i/>
        </w:rPr>
        <w:t xml:space="preserve">et al.</w:t>
      </w:r>
      <w:r>
        <w:t xml:space="preserve">, 2018)</w:t>
      </w:r>
      <w:r>
        <w:t xml:space="preserve">. Another hypothesis is that the effect size of</w:t>
      </w:r>
      <w:r>
        <w:t xml:space="preserve"> </w:t>
      </w:r>
      <w:r>
        <w:rPr>
          <w:iCs/>
          <w:i/>
        </w:rPr>
        <w:t xml:space="preserve">trp53</w:t>
      </w:r>
      <w:r>
        <w:t xml:space="preserve"> </w:t>
      </w:r>
      <w:r>
        <w:t xml:space="preserve">loss is so small that many mice and tumors are needed to detect a robust cooperation. Indeed, p53 loss is not that to suddenly make tumors immediately proliferate. Rather, p53 loss merely allows for tumor cells to sample various transcriptional programs that can be co-opted for increased fitness in the face of stress. 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 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 Our data provides further insight into what biological mechanisms are important for BRAF</w:t>
      </w:r>
      <w:r>
        <w:rPr>
          <w:vertAlign w:val="superscript"/>
        </w:rPr>
        <w:t xml:space="preserve">V600E</w:t>
      </w:r>
      <w:r>
        <w:t xml:space="preserve"> </w:t>
      </w:r>
      <w:r>
        <w:t xml:space="preserve">lung tumorigenesis. Additional studies of SETD2’s role in lung adenocarcinoma will further reveal how it alters the evolution of lung adenocarcinomas. 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 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 Utltimetly, aiding to the refinement of cancer biology knowledge and precision oncology.</w:t>
      </w:r>
    </w:p>
    <w:bookmarkStart w:id="0" w:name="fig:04"/>
    <w:p>
      <w:pPr>
        <w:pStyle w:val="CaptionedFigure"/>
      </w:pPr>
      <w:bookmarkStart w:id="43" w:name="fig:04"/>
      <w:r>
        <w:drawing>
          <wp:inline>
            <wp:extent cx="4969565" cy="7134766"/>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713476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4137736" cy="7553739"/>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7028564"/>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45" w:name="references"/>
    <w:p>
      <w:pPr>
        <w:pStyle w:val="Heading2"/>
      </w:pPr>
      <w:r>
        <w:t xml:space="preserve">References</w:t>
      </w:r>
    </w:p>
    <w:bookmarkStart w:id="344"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1AV7mz5Fc"/>
    <w:p>
      <w:pPr>
        <w:pStyle w:val="Bibliography"/>
      </w:pPr>
      <w:r>
        <w:t xml:space="preserve">Bhattacharya,S. and Workman,J.L. (2020)</w:t>
      </w:r>
      <w:r>
        <w:t xml:space="preserve"> </w:t>
      </w:r>
      <w:hyperlink r:id="rId150">
        <w:r>
          <w:rPr>
            <w:rStyle w:val="Hyperlink"/>
          </w:rPr>
          <w:t xml:space="preserve">Regulation of SETD2 stability is important for the fidelity of H3K36me3 deposition.</w:t>
        </w:r>
      </w:hyperlink>
      <w:r>
        <w:t xml:space="preserve"> </w:t>
      </w:r>
      <w:r>
        <w:rPr>
          <w:iCs/>
          <w:i/>
        </w:rPr>
        <w:t xml:space="preserve">Epigenetics Chromatin</w:t>
      </w:r>
      <w:r>
        <w:t xml:space="preserve">,</w:t>
      </w:r>
      <w:r>
        <w:t xml:space="preserve"> </w:t>
      </w:r>
      <w:r>
        <w:rPr>
          <w:bCs/>
          <w:b/>
        </w:rPr>
        <w:t xml:space="preserve">13</w:t>
      </w:r>
      <w:r>
        <w:t xml:space="preserve">, 40.</w:t>
      </w:r>
    </w:p>
    <w:bookmarkEnd w:id="151"/>
    <w:bookmarkStart w:id="153"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2">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3"/>
    <w:bookmarkStart w:id="155"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4">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5"/>
    <w:bookmarkStart w:id="157" w:name="ref-KlPsMirp"/>
    <w:p>
      <w:pPr>
        <w:pStyle w:val="Bibliography"/>
      </w:pPr>
      <w:r>
        <w:t xml:space="preserve">Boutelle,A.M. and Attardi,L.D. (2021)</w:t>
      </w:r>
      <w:r>
        <w:t xml:space="preserve"> </w:t>
      </w:r>
      <w:hyperlink r:id="rId156">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7"/>
    <w:bookmarkStart w:id="159" w:name="ref-Ph0Z7rTW"/>
    <w:p>
      <w:pPr>
        <w:pStyle w:val="Bibliography"/>
      </w:pPr>
      <w:r>
        <w:t xml:space="preserve">Cerami,E.</w:t>
      </w:r>
      <w:r>
        <w:t xml:space="preserve"> </w:t>
      </w:r>
      <w:r>
        <w:rPr>
          <w:iCs/>
          <w:i/>
        </w:rPr>
        <w:t xml:space="preserve">et al.</w:t>
      </w:r>
      <w:r>
        <w:t xml:space="preserve"> </w:t>
      </w:r>
      <w:r>
        <w:t xml:space="preserve">(2012)</w:t>
      </w:r>
      <w:r>
        <w:t xml:space="preserve"> </w:t>
      </w:r>
      <w:hyperlink r:id="rId158">
        <w:r>
          <w:rPr>
            <w:rStyle w:val="Hyperlink"/>
          </w:rPr>
          <w:t xml:space="preserve">The cBio cancer genomics portal: an open platform for exploring multidimensional cancer genomics data.</w:t>
        </w:r>
      </w:hyperlink>
      <w:r>
        <w:t xml:space="preserve"> </w:t>
      </w:r>
      <w:r>
        <w:rPr>
          <w:iCs/>
          <w:i/>
        </w:rPr>
        <w:t xml:space="preserve">Cancer Discov</w:t>
      </w:r>
      <w:r>
        <w:t xml:space="preserve">,</w:t>
      </w:r>
      <w:r>
        <w:t xml:space="preserve"> </w:t>
      </w:r>
      <w:r>
        <w:rPr>
          <w:bCs/>
          <w:b/>
        </w:rPr>
        <w:t xml:space="preserve">2</w:t>
      </w:r>
      <w:r>
        <w:t xml:space="preserve">, 401–4.</w:t>
      </w:r>
    </w:p>
    <w:bookmarkEnd w:id="159"/>
    <w:bookmarkStart w:id="161"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60">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61"/>
    <w:bookmarkStart w:id="163"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62">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63"/>
    <w:bookmarkStart w:id="165" w:name="ref-OK8s0ke5"/>
    <w:p>
      <w:pPr>
        <w:pStyle w:val="Bibliography"/>
      </w:pPr>
      <w:r>
        <w:t xml:space="preserve">Cicchini,M.</w:t>
      </w:r>
      <w:r>
        <w:t xml:space="preserve"> </w:t>
      </w:r>
      <w:r>
        <w:rPr>
          <w:iCs/>
          <w:i/>
        </w:rPr>
        <w:t xml:space="preserve">et al.</w:t>
      </w:r>
      <w:r>
        <w:t xml:space="preserve"> </w:t>
      </w:r>
      <w:r>
        <w:t xml:space="preserve">(2017)</w:t>
      </w:r>
      <w:r>
        <w:t xml:space="preserve"> </w:t>
      </w:r>
      <w:hyperlink r:id="rId164">
        <w:r>
          <w:rPr>
            <w:rStyle w:val="Hyperlink"/>
          </w:rPr>
          <w:t xml:space="preserve">Context-Dependent Effects of Amplified MAPK Signaling during Lung Adenocarcinoma Initiation and Progression.</w:t>
        </w:r>
      </w:hyperlink>
      <w:r>
        <w:t xml:space="preserve"> </w:t>
      </w:r>
      <w:r>
        <w:rPr>
          <w:iCs/>
          <w:i/>
        </w:rPr>
        <w:t xml:space="preserve">Cell Rep</w:t>
      </w:r>
      <w:r>
        <w:t xml:space="preserve">,</w:t>
      </w:r>
      <w:r>
        <w:t xml:space="preserve"> </w:t>
      </w:r>
      <w:r>
        <w:rPr>
          <w:bCs/>
          <w:b/>
        </w:rPr>
        <w:t xml:space="preserve">18</w:t>
      </w:r>
      <w:r>
        <w:t xml:space="preserve">, 1958–1969.</w:t>
      </w:r>
    </w:p>
    <w:bookmarkEnd w:id="165"/>
    <w:bookmarkStart w:id="167"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6">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7"/>
    <w:bookmarkStart w:id="16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9"/>
    <w:bookmarkStart w:id="171" w:name="ref-1F86sLj5s"/>
    <w:p>
      <w:pPr>
        <w:pStyle w:val="Bibliography"/>
      </w:pPr>
      <w:r>
        <w:t xml:space="preserve">de Groot,P. and Munden,R.F. (2012)</w:t>
      </w:r>
      <w:r>
        <w:t xml:space="preserve"> </w:t>
      </w:r>
      <w:hyperlink r:id="rId17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71"/>
    <w:bookmarkStart w:id="173" w:name="ref-n08HchE9"/>
    <w:p>
      <w:pPr>
        <w:pStyle w:val="Bibliography"/>
      </w:pPr>
      <w:r>
        <w:t xml:space="preserve">Desai,T.J.</w:t>
      </w:r>
      <w:r>
        <w:t xml:space="preserve"> </w:t>
      </w:r>
      <w:r>
        <w:rPr>
          <w:iCs/>
          <w:i/>
        </w:rPr>
        <w:t xml:space="preserve">et al.</w:t>
      </w:r>
      <w:r>
        <w:t xml:space="preserve"> </w:t>
      </w:r>
      <w:r>
        <w:t xml:space="preserve">(2014)</w:t>
      </w:r>
      <w:r>
        <w:t xml:space="preserve"> </w:t>
      </w:r>
      <w:hyperlink r:id="rId172">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73"/>
    <w:bookmarkStart w:id="17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7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75"/>
    <w:bookmarkStart w:id="17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7"/>
    <w:bookmarkStart w:id="179"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8">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9"/>
    <w:bookmarkStart w:id="181" w:name="ref-M2kGnbOE"/>
    <w:p>
      <w:pPr>
        <w:pStyle w:val="Bibliography"/>
      </w:pPr>
      <w:r>
        <w:t xml:space="preserve">Edmunds,J.W.</w:t>
      </w:r>
      <w:r>
        <w:t xml:space="preserve"> </w:t>
      </w:r>
      <w:r>
        <w:rPr>
          <w:iCs/>
          <w:i/>
        </w:rPr>
        <w:t xml:space="preserve">et al.</w:t>
      </w:r>
      <w:r>
        <w:t xml:space="preserve"> </w:t>
      </w:r>
      <w:r>
        <w:t xml:space="preserve">(2007)</w:t>
      </w:r>
      <w:r>
        <w:t xml:space="preserve"> </w:t>
      </w:r>
      <w:hyperlink r:id="rId180">
        <w:r>
          <w:rPr>
            <w:rStyle w:val="Hyperlink"/>
          </w:rPr>
          <w:t xml:space="preserve">Dynamic histone H3 methylation during gene induction: HYPB/Setd2 mediates all H3K36 trimethylation.</w:t>
        </w:r>
      </w:hyperlink>
      <w:r>
        <w:t xml:space="preserve"> </w:t>
      </w:r>
      <w:r>
        <w:rPr>
          <w:iCs/>
          <w:i/>
        </w:rPr>
        <w:t xml:space="preserve">EMBO J</w:t>
      </w:r>
      <w:r>
        <w:t xml:space="preserve">,</w:t>
      </w:r>
      <w:r>
        <w:t xml:space="preserve"> </w:t>
      </w:r>
      <w:r>
        <w:rPr>
          <w:bCs/>
          <w:b/>
        </w:rPr>
        <w:t xml:space="preserve">27</w:t>
      </w:r>
      <w:r>
        <w:t xml:space="preserve">, 406–20.</w:t>
      </w:r>
    </w:p>
    <w:bookmarkEnd w:id="181"/>
    <w:bookmarkStart w:id="183"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82">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83"/>
    <w:bookmarkStart w:id="185"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84">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85"/>
    <w:bookmarkStart w:id="187" w:name="ref-oVtv8JOR"/>
    <w:p>
      <w:pPr>
        <w:pStyle w:val="Bibliography"/>
      </w:pPr>
      <w:r>
        <w:t xml:space="preserve">Ferone,G.</w:t>
      </w:r>
      <w:r>
        <w:t xml:space="preserve"> </w:t>
      </w:r>
      <w:r>
        <w:rPr>
          <w:iCs/>
          <w:i/>
        </w:rPr>
        <w:t xml:space="preserve">et al.</w:t>
      </w:r>
      <w:r>
        <w:t xml:space="preserve"> </w:t>
      </w:r>
      <w:r>
        <w:t xml:space="preserve">(2020)</w:t>
      </w:r>
      <w:r>
        <w:t xml:space="preserve"> </w:t>
      </w:r>
      <w:hyperlink r:id="rId186">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87"/>
    <w:bookmarkStart w:id="189"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8">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9"/>
    <w:bookmarkStart w:id="191" w:name="ref-gI9Yeagx"/>
    <w:p>
      <w:pPr>
        <w:pStyle w:val="Bibliography"/>
      </w:pPr>
      <w:r>
        <w:t xml:space="preserve">Gao,J.</w:t>
      </w:r>
      <w:r>
        <w:t xml:space="preserve"> </w:t>
      </w:r>
      <w:r>
        <w:rPr>
          <w:iCs/>
          <w:i/>
        </w:rPr>
        <w:t xml:space="preserve">et al.</w:t>
      </w:r>
      <w:r>
        <w:t xml:space="preserve"> </w:t>
      </w:r>
      <w:r>
        <w:t xml:space="preserve">(2013)</w:t>
      </w:r>
      <w:r>
        <w:t xml:space="preserve"> </w:t>
      </w:r>
      <w:hyperlink r:id="rId190">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91"/>
    <w:bookmarkStart w:id="193" w:name="ref-ztWGsqcf"/>
    <w:p>
      <w:pPr>
        <w:pStyle w:val="Bibliography"/>
      </w:pPr>
      <w:r>
        <w:t xml:space="preserve">Garcia,P.B. and Attardi,L.D. (2014)</w:t>
      </w:r>
      <w:r>
        <w:t xml:space="preserve"> </w:t>
      </w:r>
      <w:hyperlink r:id="rId192">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93"/>
    <w:bookmarkStart w:id="195"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94">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95"/>
    <w:bookmarkStart w:id="197"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96">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97"/>
    <w:bookmarkStart w:id="199" w:name="ref-Pje1Soz4"/>
    <w:p>
      <w:pPr>
        <w:pStyle w:val="Bibliography"/>
      </w:pPr>
      <w:r>
        <w:t xml:space="preserve">Green,S.</w:t>
      </w:r>
      <w:r>
        <w:t xml:space="preserve"> </w:t>
      </w:r>
      <w:r>
        <w:rPr>
          <w:iCs/>
          <w:i/>
        </w:rPr>
        <w:t xml:space="preserve">et al.</w:t>
      </w:r>
      <w:r>
        <w:t xml:space="preserve"> </w:t>
      </w:r>
      <w:r>
        <w:t xml:space="preserve">(2015)</w:t>
      </w:r>
      <w:r>
        <w:t xml:space="preserve"> </w:t>
      </w:r>
      <w:hyperlink r:id="rId198">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9"/>
    <w:bookmarkStart w:id="201" w:name="ref-kgaUYMuT"/>
    <w:p>
      <w:pPr>
        <w:pStyle w:val="Bibliography"/>
      </w:pPr>
      <w:r>
        <w:t xml:space="preserve">Hanahan,D. (2022)</w:t>
      </w:r>
      <w:r>
        <w:t xml:space="preserve"> </w:t>
      </w:r>
      <w:hyperlink r:id="rId200">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201"/>
    <w:bookmarkStart w:id="203" w:name="ref-4H4Kjv9w"/>
    <w:p>
      <w:pPr>
        <w:pStyle w:val="Bibliography"/>
      </w:pPr>
      <w:r>
        <w:t xml:space="preserve">Hanahan,D. and Weinberg,R.A. (2011)</w:t>
      </w:r>
      <w:r>
        <w:t xml:space="preserve"> </w:t>
      </w:r>
      <w:hyperlink r:id="rId202">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203"/>
    <w:bookmarkStart w:id="205"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204">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205"/>
    <w:bookmarkStart w:id="207"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206">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207"/>
    <w:bookmarkStart w:id="209"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8">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9"/>
    <w:bookmarkStart w:id="211" w:name="ref-bLXbRmvx"/>
    <w:p>
      <w:pPr>
        <w:pStyle w:val="Bibliography"/>
      </w:pPr>
      <w:r>
        <w:t xml:space="preserve">Iggo,R.</w:t>
      </w:r>
      <w:r>
        <w:t xml:space="preserve"> </w:t>
      </w:r>
      <w:r>
        <w:rPr>
          <w:iCs/>
          <w:i/>
        </w:rPr>
        <w:t xml:space="preserve">et al.</w:t>
      </w:r>
      <w:r>
        <w:t xml:space="preserve"> </w:t>
      </w:r>
      <w:r>
        <w:t xml:space="preserve">(1990)</w:t>
      </w:r>
      <w:r>
        <w:t xml:space="preserve"> </w:t>
      </w:r>
      <w:hyperlink r:id="rId210">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11"/>
    <w:bookmarkStart w:id="21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1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13"/>
    <w:bookmarkStart w:id="21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1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15"/>
    <w:bookmarkStart w:id="217"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16">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17"/>
    <w:bookmarkStart w:id="219" w:name="ref-Djv3zv5n"/>
    <w:p>
      <w:pPr>
        <w:pStyle w:val="Bibliography"/>
      </w:pPr>
      <w:r>
        <w:t xml:space="preserve">Juan,J.</w:t>
      </w:r>
      <w:r>
        <w:t xml:space="preserve"> </w:t>
      </w:r>
      <w:r>
        <w:rPr>
          <w:iCs/>
          <w:i/>
        </w:rPr>
        <w:t xml:space="preserve">et al.</w:t>
      </w:r>
      <w:r>
        <w:t xml:space="preserve"> </w:t>
      </w:r>
      <w:r>
        <w:t xml:space="preserve">(2014)</w:t>
      </w:r>
      <w:r>
        <w:t xml:space="preserve"> </w:t>
      </w:r>
      <w:hyperlink r:id="rId218">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9"/>
    <w:bookmarkStart w:id="221"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20">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21"/>
    <w:bookmarkStart w:id="223"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22">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23"/>
    <w:bookmarkStart w:id="225" w:name="ref-9P0mUQ2t"/>
    <w:p>
      <w:pPr>
        <w:pStyle w:val="Bibliography"/>
      </w:pPr>
      <w:r>
        <w:t xml:space="preserve">Kemp,C.J.</w:t>
      </w:r>
      <w:r>
        <w:t xml:space="preserve"> </w:t>
      </w:r>
      <w:r>
        <w:rPr>
          <w:iCs/>
          <w:i/>
        </w:rPr>
        <w:t xml:space="preserve">et al.</w:t>
      </w:r>
      <w:r>
        <w:t xml:space="preserve"> </w:t>
      </w:r>
      <w:r>
        <w:t xml:space="preserve">(1994)</w:t>
      </w:r>
      <w:r>
        <w:t xml:space="preserve"> </w:t>
      </w:r>
      <w:hyperlink r:id="rId22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25"/>
    <w:bookmarkStart w:id="227" w:name="ref-o8jKDrsB"/>
    <w:p>
      <w:pPr>
        <w:pStyle w:val="Bibliography"/>
      </w:pPr>
      <w:r>
        <w:t xml:space="preserve">Kim,M.P.</w:t>
      </w:r>
      <w:r>
        <w:t xml:space="preserve"> </w:t>
      </w:r>
      <w:r>
        <w:rPr>
          <w:iCs/>
          <w:i/>
        </w:rPr>
        <w:t xml:space="preserve">et al.</w:t>
      </w:r>
      <w:r>
        <w:t xml:space="preserve"> </w:t>
      </w:r>
      <w:r>
        <w:t xml:space="preserve">(2021)</w:t>
      </w:r>
      <w:r>
        <w:t xml:space="preserve"> </w:t>
      </w:r>
      <w:hyperlink r:id="rId22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27"/>
    <w:bookmarkStart w:id="22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9"/>
    <w:bookmarkStart w:id="231" w:name="ref-B0ClcVtn"/>
    <w:p>
      <w:pPr>
        <w:pStyle w:val="Bibliography"/>
      </w:pPr>
      <w:r>
        <w:t xml:space="preserve">Klemke,L.</w:t>
      </w:r>
      <w:r>
        <w:t xml:space="preserve"> </w:t>
      </w:r>
      <w:r>
        <w:rPr>
          <w:iCs/>
          <w:i/>
        </w:rPr>
        <w:t xml:space="preserve">et al.</w:t>
      </w:r>
      <w:r>
        <w:t xml:space="preserve"> </w:t>
      </w:r>
      <w:r>
        <w:t xml:space="preserve">(2021)</w:t>
      </w:r>
      <w:r>
        <w:t xml:space="preserve"> </w:t>
      </w:r>
      <w:hyperlink r:id="rId23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31"/>
    <w:bookmarkStart w:id="233"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32">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33"/>
    <w:bookmarkStart w:id="235" w:name="ref-V4ONQpBd"/>
    <w:p>
      <w:pPr>
        <w:pStyle w:val="Bibliography"/>
      </w:pPr>
      <w:r>
        <w:t xml:space="preserve">Lang,G.A.</w:t>
      </w:r>
      <w:r>
        <w:t xml:space="preserve"> </w:t>
      </w:r>
      <w:r>
        <w:rPr>
          <w:iCs/>
          <w:i/>
        </w:rPr>
        <w:t xml:space="preserve">et al.</w:t>
      </w:r>
      <w:r>
        <w:t xml:space="preserve"> </w:t>
      </w:r>
      <w:r>
        <w:t xml:space="preserve">(2004)</w:t>
      </w:r>
      <w:r>
        <w:t xml:space="preserve"> </w:t>
      </w:r>
      <w:hyperlink r:id="rId23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35"/>
    <w:bookmarkStart w:id="237" w:name="ref-qbfESpXa"/>
    <w:p>
      <w:pPr>
        <w:pStyle w:val="Bibliography"/>
      </w:pPr>
      <w:r>
        <w:t xml:space="preserve">Laptenko,O. and Prives,C. (2006)</w:t>
      </w:r>
      <w:r>
        <w:t xml:space="preserve"> </w:t>
      </w:r>
      <w:hyperlink r:id="rId236">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37"/>
    <w:bookmarkStart w:id="239" w:name="ref-13QSbJkMk"/>
    <w:p>
      <w:pPr>
        <w:pStyle w:val="Bibliography"/>
      </w:pPr>
      <w:r>
        <w:t xml:space="preserve">Levine,A.J. (2020)</w:t>
      </w:r>
      <w:r>
        <w:t xml:space="preserve"> </w:t>
      </w:r>
      <w:hyperlink r:id="rId238">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9"/>
    <w:bookmarkStart w:id="241" w:name="ref-SWNWMYmm"/>
    <w:p>
      <w:pPr>
        <w:pStyle w:val="Bibliography"/>
      </w:pPr>
      <w:r>
        <w:t xml:space="preserve">Levine,A.J. and Oren,M. (2009)</w:t>
      </w:r>
      <w:r>
        <w:t xml:space="preserve"> </w:t>
      </w:r>
      <w:hyperlink r:id="rId240">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41"/>
    <w:bookmarkStart w:id="243" w:name="ref-TYj65wKz"/>
    <w:p>
      <w:pPr>
        <w:pStyle w:val="Bibliography"/>
      </w:pPr>
      <w:r>
        <w:t xml:space="preserve">Li,F.P.</w:t>
      </w:r>
      <w:r>
        <w:t xml:space="preserve"> </w:t>
      </w:r>
      <w:r>
        <w:rPr>
          <w:iCs/>
          <w:i/>
        </w:rPr>
        <w:t xml:space="preserve">et al.</w:t>
      </w:r>
      <w:r>
        <w:t xml:space="preserve"> </w:t>
      </w:r>
      <w:r>
        <w:t xml:space="preserve">(1988)</w:t>
      </w:r>
      <w:r>
        <w:t xml:space="preserve"> </w:t>
      </w:r>
      <w:hyperlink r:id="rId242">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43"/>
    <w:bookmarkStart w:id="245" w:name="ref-WiSGMfl3"/>
    <w:p>
      <w:pPr>
        <w:pStyle w:val="Bibliography"/>
      </w:pPr>
      <w:r>
        <w:t xml:space="preserve">Lin,L.</w:t>
      </w:r>
      <w:r>
        <w:t xml:space="preserve"> </w:t>
      </w:r>
      <w:r>
        <w:rPr>
          <w:iCs/>
          <w:i/>
        </w:rPr>
        <w:t xml:space="preserve">et al.</w:t>
      </w:r>
      <w:r>
        <w:t xml:space="preserve"> </w:t>
      </w:r>
      <w:r>
        <w:t xml:space="preserve">(2014)</w:t>
      </w:r>
      <w:r>
        <w:t xml:space="preserve"> </w:t>
      </w:r>
      <w:hyperlink r:id="rId244">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45"/>
    <w:bookmarkStart w:id="247" w:name="ref-1FKCm8fuC"/>
    <w:p>
      <w:pPr>
        <w:pStyle w:val="Bibliography"/>
      </w:pPr>
      <w:r>
        <w:t xml:space="preserve">Linzer,D.I. and Levine,A.J. (1979)</w:t>
      </w:r>
      <w:r>
        <w:t xml:space="preserve"> </w:t>
      </w:r>
      <w:hyperlink r:id="rId246">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47"/>
    <w:bookmarkStart w:id="24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9"/>
    <w:bookmarkStart w:id="25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5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51"/>
    <w:bookmarkStart w:id="253" w:name="ref-SY8r3LQy"/>
    <w:p>
      <w:pPr>
        <w:pStyle w:val="Bibliography"/>
      </w:pPr>
      <w:r>
        <w:t xml:space="preserve">Matsunaga,M. and Shida,K. (1971)</w:t>
      </w:r>
      <w:r>
        <w:t xml:space="preserve"> </w:t>
      </w:r>
      <w:hyperlink r:id="rId25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53"/>
    <w:bookmarkStart w:id="255"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54">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55"/>
    <w:bookmarkStart w:id="25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5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57"/>
    <w:bookmarkStart w:id="259"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8">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9"/>
    <w:bookmarkStart w:id="261"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60">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61"/>
    <w:bookmarkStart w:id="26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6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63"/>
    <w:bookmarkStart w:id="265" w:name="ref-cWKMNUBI"/>
    <w:p>
      <w:pPr>
        <w:pStyle w:val="Bibliography"/>
      </w:pPr>
      <w:r>
        <w:t xml:space="preserve">Mukhopadhyay,A. and Oliver,T.G. (2014)</w:t>
      </w:r>
      <w:r>
        <w:t xml:space="preserve"> </w:t>
      </w:r>
      <w:hyperlink r:id="rId26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65"/>
    <w:bookmarkStart w:id="26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6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67"/>
    <w:bookmarkStart w:id="26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9"/>
    <w:bookmarkStart w:id="27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7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71"/>
    <w:bookmarkStart w:id="273" w:name="ref-MLY9vR0E"/>
    <w:p>
      <w:pPr>
        <w:pStyle w:val="Bibliography"/>
      </w:pPr>
      <w:r>
        <w:t xml:space="preserve">Olive,K.P.</w:t>
      </w:r>
      <w:r>
        <w:t xml:space="preserve"> </w:t>
      </w:r>
      <w:r>
        <w:rPr>
          <w:iCs/>
          <w:i/>
        </w:rPr>
        <w:t xml:space="preserve">et al.</w:t>
      </w:r>
      <w:r>
        <w:t xml:space="preserve"> </w:t>
      </w:r>
      <w:r>
        <w:t xml:space="preserve">(2004)</w:t>
      </w:r>
      <w:r>
        <w:t xml:space="preserve"> </w:t>
      </w:r>
      <w:hyperlink r:id="rId27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73"/>
    <w:bookmarkStart w:id="27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7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75"/>
    <w:bookmarkStart w:id="277" w:name="ref-WVwMP2mo"/>
    <w:p>
      <w:pPr>
        <w:pStyle w:val="Bibliography"/>
      </w:pPr>
      <w:r>
        <w:t xml:space="preserve">Orth,M.</w:t>
      </w:r>
      <w:r>
        <w:t xml:space="preserve"> </w:t>
      </w:r>
      <w:r>
        <w:rPr>
          <w:iCs/>
          <w:i/>
        </w:rPr>
        <w:t xml:space="preserve">et al.</w:t>
      </w:r>
      <w:r>
        <w:t xml:space="preserve"> </w:t>
      </w:r>
      <w:r>
        <w:t xml:space="preserve">(2019)</w:t>
      </w:r>
      <w:r>
        <w:t xml:space="preserve"> </w:t>
      </w:r>
      <w:hyperlink r:id="rId276">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77"/>
    <w:bookmarkStart w:id="279"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8">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9"/>
    <w:bookmarkStart w:id="281"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80">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81"/>
    <w:bookmarkStart w:id="283"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82">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83"/>
    <w:bookmarkStart w:id="285" w:name="ref-kQzAqqtP"/>
    <w:p>
      <w:pPr>
        <w:pStyle w:val="Bibliography"/>
      </w:pPr>
      <w:r>
        <w:t xml:space="preserve">Politi,K.</w:t>
      </w:r>
      <w:r>
        <w:t xml:space="preserve"> </w:t>
      </w:r>
      <w:r>
        <w:rPr>
          <w:iCs/>
          <w:i/>
        </w:rPr>
        <w:t xml:space="preserve">et al.</w:t>
      </w:r>
      <w:r>
        <w:t xml:space="preserve"> </w:t>
      </w:r>
      <w:r>
        <w:t xml:space="preserve">(2006)</w:t>
      </w:r>
      <w:r>
        <w:t xml:space="preserve"> </w:t>
      </w:r>
      <w:hyperlink r:id="rId284">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85"/>
    <w:bookmarkStart w:id="287" w:name="ref-1fsz5jxh"/>
    <w:p>
      <w:pPr>
        <w:pStyle w:val="Bibliography"/>
      </w:pPr>
      <w:r>
        <w:t xml:space="preserve">Powell,S.M.</w:t>
      </w:r>
      <w:r>
        <w:t xml:space="preserve"> </w:t>
      </w:r>
      <w:r>
        <w:rPr>
          <w:iCs/>
          <w:i/>
        </w:rPr>
        <w:t xml:space="preserve">et al.</w:t>
      </w:r>
      <w:r>
        <w:t xml:space="preserve"> </w:t>
      </w:r>
      <w:r>
        <w:t xml:space="preserve">(1992)</w:t>
      </w:r>
      <w:r>
        <w:t xml:space="preserve"> </w:t>
      </w:r>
      <w:hyperlink r:id="rId286">
        <w:r>
          <w:rPr>
            <w:rStyle w:val="Hyperlink"/>
          </w:rPr>
          <w:t xml:space="preserve">APC mutations occur early during colorectal tumorigenesis.</w:t>
        </w:r>
      </w:hyperlink>
      <w:r>
        <w:t xml:space="preserve"> </w:t>
      </w:r>
      <w:r>
        <w:rPr>
          <w:iCs/>
          <w:i/>
        </w:rPr>
        <w:t xml:space="preserve">Nature</w:t>
      </w:r>
      <w:r>
        <w:t xml:space="preserve">,</w:t>
      </w:r>
      <w:r>
        <w:t xml:space="preserve"> </w:t>
      </w:r>
      <w:r>
        <w:rPr>
          <w:bCs/>
          <w:b/>
        </w:rPr>
        <w:t xml:space="preserve">359</w:t>
      </w:r>
      <w:r>
        <w:t xml:space="preserve">, 235–7.</w:t>
      </w:r>
    </w:p>
    <w:bookmarkEnd w:id="287"/>
    <w:bookmarkStart w:id="28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8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89"/>
    <w:bookmarkStart w:id="29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9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91"/>
    <w:bookmarkStart w:id="29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9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93"/>
    <w:bookmarkStart w:id="295" w:name="ref-17E8qJFQ0"/>
    <w:p>
      <w:pPr>
        <w:pStyle w:val="Bibliography"/>
      </w:pPr>
      <w:r>
        <w:t xml:space="preserve">Rogers,Z.N.</w:t>
      </w:r>
      <w:r>
        <w:t xml:space="preserve"> </w:t>
      </w:r>
      <w:r>
        <w:rPr>
          <w:iCs/>
          <w:i/>
        </w:rPr>
        <w:t xml:space="preserve">et al.</w:t>
      </w:r>
      <w:r>
        <w:t xml:space="preserve"> </w:t>
      </w:r>
      <w:r>
        <w:t xml:space="preserve">(2018)</w:t>
      </w:r>
      <w:r>
        <w:t xml:space="preserve"> </w:t>
      </w:r>
      <w:hyperlink r:id="rId294">
        <w:r>
          <w:rPr>
            <w:rStyle w:val="Hyperlink"/>
          </w:rPr>
          <w:t xml:space="preserve">Mapping the in vivo fitness landscape of lung adenocarcinoma tumor suppression in mice.</w:t>
        </w:r>
      </w:hyperlink>
      <w:r>
        <w:t xml:space="preserve"> </w:t>
      </w:r>
      <w:r>
        <w:rPr>
          <w:iCs/>
          <w:i/>
        </w:rPr>
        <w:t xml:space="preserve">Nat Genet</w:t>
      </w:r>
      <w:r>
        <w:t xml:space="preserve">,</w:t>
      </w:r>
      <w:r>
        <w:t xml:space="preserve"> </w:t>
      </w:r>
      <w:r>
        <w:rPr>
          <w:bCs/>
          <w:b/>
        </w:rPr>
        <w:t xml:space="preserve">50</w:t>
      </w:r>
      <w:r>
        <w:t xml:space="preserve">, 483–486.</w:t>
      </w:r>
    </w:p>
    <w:bookmarkEnd w:id="295"/>
    <w:bookmarkStart w:id="297" w:name="ref-PX0Ki15S"/>
    <w:p>
      <w:pPr>
        <w:pStyle w:val="Bibliography"/>
      </w:pPr>
      <w:r>
        <w:t xml:space="preserve">Rusch,V.</w:t>
      </w:r>
      <w:r>
        <w:t xml:space="preserve"> </w:t>
      </w:r>
      <w:r>
        <w:rPr>
          <w:iCs/>
          <w:i/>
        </w:rPr>
        <w:t xml:space="preserve">et al.</w:t>
      </w:r>
      <w:r>
        <w:t xml:space="preserve"> </w:t>
      </w:r>
      <w:r>
        <w:t xml:space="preserve">(1995)</w:t>
      </w:r>
      <w:r>
        <w:t xml:space="preserve"> </w:t>
      </w:r>
      <w:hyperlink r:id="rId296">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97"/>
    <w:bookmarkStart w:id="299" w:name="ref-UfKKrJ6l"/>
    <w:p>
      <w:pPr>
        <w:pStyle w:val="Bibliography"/>
      </w:pPr>
      <w:r>
        <w:t xml:space="preserve">Sainz de Aja,J. and Kim,C.F. (2020)</w:t>
      </w:r>
      <w:r>
        <w:t xml:space="preserve"> </w:t>
      </w:r>
      <w:hyperlink r:id="rId298">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99"/>
    <w:bookmarkStart w:id="301" w:name="ref-Ntv29NRu"/>
    <w:p>
      <w:pPr>
        <w:pStyle w:val="Bibliography"/>
      </w:pPr>
      <w:r>
        <w:t xml:space="preserve">Shai,A.</w:t>
      </w:r>
      <w:r>
        <w:t xml:space="preserve"> </w:t>
      </w:r>
      <w:r>
        <w:rPr>
          <w:iCs/>
          <w:i/>
        </w:rPr>
        <w:t xml:space="preserve">et al.</w:t>
      </w:r>
      <w:r>
        <w:t xml:space="preserve"> </w:t>
      </w:r>
      <w:r>
        <w:t xml:space="preserve">(2015)</w:t>
      </w:r>
      <w:r>
        <w:t xml:space="preserve"> </w:t>
      </w:r>
      <w:hyperlink r:id="rId300">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301"/>
    <w:bookmarkStart w:id="303" w:name="ref-gY2NonCA"/>
    <w:p>
      <w:pPr>
        <w:pStyle w:val="Bibliography"/>
      </w:pPr>
      <w:r>
        <w:t xml:space="preserve">Siegel,R.L.</w:t>
      </w:r>
      <w:r>
        <w:t xml:space="preserve"> </w:t>
      </w:r>
      <w:r>
        <w:rPr>
          <w:iCs/>
          <w:i/>
        </w:rPr>
        <w:t xml:space="preserve">et al.</w:t>
      </w:r>
      <w:r>
        <w:t xml:space="preserve"> </w:t>
      </w:r>
      <w:r>
        <w:t xml:space="preserve">(2021)</w:t>
      </w:r>
      <w:r>
        <w:t xml:space="preserve"> </w:t>
      </w:r>
      <w:hyperlink r:id="rId302">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303"/>
    <w:bookmarkStart w:id="305" w:name="ref-4BJVCLfM"/>
    <w:p>
      <w:pPr>
        <w:pStyle w:val="Bibliography"/>
      </w:pPr>
      <w:r>
        <w:t xml:space="preserve">Strong,L.C. (1978)</w:t>
      </w:r>
      <w:r>
        <w:t xml:space="preserve"> </w:t>
      </w:r>
      <w:hyperlink r:id="rId304">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305"/>
    <w:bookmarkStart w:id="307"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306">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307"/>
    <w:bookmarkStart w:id="309" w:name="ref-fXe5uEAl"/>
    <w:p>
      <w:pPr>
        <w:pStyle w:val="Bibliography"/>
      </w:pPr>
      <w:r>
        <w:t xml:space="preserve">Tabbò,F.</w:t>
      </w:r>
      <w:r>
        <w:t xml:space="preserve"> </w:t>
      </w:r>
      <w:r>
        <w:rPr>
          <w:iCs/>
          <w:i/>
        </w:rPr>
        <w:t xml:space="preserve">et al.</w:t>
      </w:r>
      <w:r>
        <w:t xml:space="preserve"> </w:t>
      </w:r>
      <w:r>
        <w:t xml:space="preserve">(2021)</w:t>
      </w:r>
      <w:r>
        <w:t xml:space="preserve"> </w:t>
      </w:r>
      <w:hyperlink r:id="rId308">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309"/>
    <w:bookmarkStart w:id="311"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310">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311"/>
    <w:bookmarkStart w:id="3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3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13"/>
    <w:bookmarkStart w:id="3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15"/>
    <w:bookmarkStart w:id="3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17"/>
    <w:bookmarkStart w:id="319" w:name="ref-S6qbb6kC"/>
    <w:p>
      <w:pPr>
        <w:pStyle w:val="Bibliography"/>
      </w:pPr>
      <w:r>
        <w:t xml:space="preserve">Walter,D.M.</w:t>
      </w:r>
      <w:r>
        <w:t xml:space="preserve"> </w:t>
      </w:r>
      <w:r>
        <w:rPr>
          <w:iCs/>
          <w:i/>
        </w:rPr>
        <w:t xml:space="preserve">et al.</w:t>
      </w:r>
      <w:r>
        <w:t xml:space="preserve"> </w:t>
      </w:r>
      <w:r>
        <w:t xml:space="preserve">(2017)</w:t>
      </w:r>
      <w:r>
        <w:t xml:space="preserve"> </w:t>
      </w:r>
      <w:hyperlink r:id="rId318">
        <w:r>
          <w:rPr>
            <w:rStyle w:val="Hyperlink"/>
          </w:rPr>
          <w:t xml:space="preserve">Systematic</w:t>
        </w:r>
        <w:r>
          <w:rPr>
            <w:rStyle w:val="Hyperlink"/>
          </w:rPr>
          <w:t xml:space="preserve"> </w:t>
        </w:r>
      </w:hyperlink>
      <w:r>
        <w:t xml:space="preserve">.</w:t>
      </w:r>
      <w:r>
        <w:t xml:space="preserve"> </w:t>
      </w:r>
      <w:r>
        <w:rPr>
          <w:iCs/>
          <w:i/>
        </w:rPr>
        <w:t xml:space="preserve">Cancer Res</w:t>
      </w:r>
      <w:r>
        <w:t xml:space="preserve">,</w:t>
      </w:r>
      <w:r>
        <w:t xml:space="preserve"> </w:t>
      </w:r>
      <w:r>
        <w:rPr>
          <w:bCs/>
          <w:b/>
        </w:rPr>
        <w:t xml:space="preserve">77</w:t>
      </w:r>
      <w:r>
        <w:t xml:space="preserve">, 1719–1729.</w:t>
      </w:r>
    </w:p>
    <w:bookmarkEnd w:id="319"/>
    <w:bookmarkStart w:id="321" w:name="ref-11g54rA8N"/>
    <w:p>
      <w:pPr>
        <w:pStyle w:val="Bibliography"/>
      </w:pPr>
      <w:r>
        <w:t xml:space="preserve">Warren,G.W. and Cummings,K.M. (2013)</w:t>
      </w:r>
      <w:r>
        <w:t xml:space="preserve"> </w:t>
      </w:r>
      <w:hyperlink r:id="rId320">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21"/>
    <w:bookmarkStart w:id="323"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22">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23"/>
    <w:bookmarkStart w:id="325"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24">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25"/>
    <w:bookmarkStart w:id="32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2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27"/>
    <w:bookmarkStart w:id="329"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28">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29"/>
    <w:bookmarkStart w:id="331" w:name="ref-tR3WrnP9"/>
    <w:p>
      <w:pPr>
        <w:pStyle w:val="Bibliography"/>
      </w:pPr>
      <w:r>
        <w:t xml:space="preserve">Woodard,G.A.</w:t>
      </w:r>
      <w:r>
        <w:t xml:space="preserve"> </w:t>
      </w:r>
      <w:r>
        <w:rPr>
          <w:iCs/>
          <w:i/>
        </w:rPr>
        <w:t xml:space="preserve">et al.</w:t>
      </w:r>
      <w:r>
        <w:t xml:space="preserve"> </w:t>
      </w:r>
      <w:hyperlink r:id="rId33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31"/>
    <w:bookmarkStart w:id="333" w:name="ref-Mb1Q4pdk"/>
    <w:p>
      <w:pPr>
        <w:pStyle w:val="Bibliography"/>
      </w:pPr>
      <w:r>
        <w:t xml:space="preserve">Wu,X.</w:t>
      </w:r>
      <w:r>
        <w:t xml:space="preserve"> </w:t>
      </w:r>
      <w:r>
        <w:rPr>
          <w:iCs/>
          <w:i/>
        </w:rPr>
        <w:t xml:space="preserve">et al.</w:t>
      </w:r>
      <w:r>
        <w:t xml:space="preserve"> </w:t>
      </w:r>
      <w:r>
        <w:t xml:space="preserve">(1993)</w:t>
      </w:r>
      <w:r>
        <w:t xml:space="preserve"> </w:t>
      </w:r>
      <w:hyperlink r:id="rId33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33"/>
    <w:bookmarkStart w:id="335" w:name="ref-FfxdQ0tV"/>
    <w:p>
      <w:pPr>
        <w:pStyle w:val="Bibliography"/>
      </w:pPr>
      <w:r>
        <w:t xml:space="preserve">Xue,Y.</w:t>
      </w:r>
      <w:r>
        <w:t xml:space="preserve"> </w:t>
      </w:r>
      <w:r>
        <w:rPr>
          <w:iCs/>
          <w:i/>
        </w:rPr>
        <w:t xml:space="preserve">et al.</w:t>
      </w:r>
      <w:r>
        <w:t xml:space="preserve"> </w:t>
      </w:r>
      <w:r>
        <w:t xml:space="preserve">(2016)</w:t>
      </w:r>
      <w:r>
        <w:t xml:space="preserve"> </w:t>
      </w:r>
      <w:hyperlink r:id="rId334">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35"/>
    <w:bookmarkStart w:id="337"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36">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37"/>
    <w:bookmarkStart w:id="339" w:name="ref-kitgYOkt"/>
    <w:p>
      <w:pPr>
        <w:pStyle w:val="Bibliography"/>
      </w:pPr>
      <w:r>
        <w:t xml:space="preserve">Zhang,Y.</w:t>
      </w:r>
      <w:r>
        <w:t xml:space="preserve"> </w:t>
      </w:r>
      <w:r>
        <w:rPr>
          <w:iCs/>
          <w:i/>
        </w:rPr>
        <w:t xml:space="preserve">et al.</w:t>
      </w:r>
      <w:r>
        <w:t xml:space="preserve"> </w:t>
      </w:r>
      <w:r>
        <w:t xml:space="preserve">(2018)</w:t>
      </w:r>
      <w:r>
        <w:t xml:space="preserve"> </w:t>
      </w:r>
      <w:hyperlink r:id="rId33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39"/>
    <w:bookmarkStart w:id="341" w:name="ref-bZo8j50s"/>
    <w:p>
      <w:pPr>
        <w:pStyle w:val="Bibliography"/>
      </w:pPr>
      <w:r>
        <w:t xml:space="preserve">Zheng,Q.</w:t>
      </w:r>
      <w:r>
        <w:t xml:space="preserve"> </w:t>
      </w:r>
      <w:r>
        <w:rPr>
          <w:iCs/>
          <w:i/>
        </w:rPr>
        <w:t xml:space="preserve">et al.</w:t>
      </w:r>
      <w:r>
        <w:t xml:space="preserve"> </w:t>
      </w:r>
      <w:r>
        <w:t xml:space="preserve">(2022)</w:t>
      </w:r>
      <w:r>
        <w:t xml:space="preserve"> </w:t>
      </w:r>
      <w:hyperlink r:id="rId34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41"/>
    <w:bookmarkStart w:id="343" w:name="ref-N2yNjRyX"/>
    <w:p>
      <w:pPr>
        <w:pStyle w:val="Bibliography"/>
      </w:pPr>
      <w:r>
        <w:t xml:space="preserve">Zhu,J.</w:t>
      </w:r>
      <w:r>
        <w:t xml:space="preserve"> </w:t>
      </w:r>
      <w:r>
        <w:rPr>
          <w:iCs/>
          <w:i/>
        </w:rPr>
        <w:t xml:space="preserve">et al.</w:t>
      </w:r>
      <w:r>
        <w:t xml:space="preserve"> </w:t>
      </w:r>
      <w:r>
        <w:t xml:space="preserve">(1998)</w:t>
      </w:r>
      <w:r>
        <w:t xml:space="preserve"> </w:t>
      </w:r>
      <w:hyperlink r:id="rId342">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43"/>
    <w:bookmarkEnd w:id="344"/>
    <w:bookmarkEnd w:id="345"/>
    <w:bookmarkEnd w:id="3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8096839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EC24B5F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7E495F8"/>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4BA8C97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5630E03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CC3CC7C4"/>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DC44A40"/>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4305FF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03FEA6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98EC5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44166"/>
    <w:pPr>
      <w:spacing w:line="480" w:lineRule="auto"/>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422682"/>
    <w:pPr>
      <w:jc w:val="both"/>
    </w:pPr>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115EF"/>
    <w:pPr>
      <w:spacing w:line="240" w:lineRule="auto"/>
    </w:pPr>
  </w:style>
  <w:style w:customStyle="1" w:styleId="Figure" w:type="paragraph">
    <w:name w:val="Figure"/>
    <w:basedOn w:val="Normal"/>
    <w:rsid w:val="000A2F2D"/>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42268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styleId="BodyText2" w:type="paragraph">
    <w:name w:val="Body Text 2"/>
    <w:basedOn w:val="Normal"/>
    <w:link w:val="BodyText2Char"/>
    <w:rsid w:val="00422682"/>
    <w:pPr>
      <w:spacing w:after="120"/>
    </w:pPr>
  </w:style>
  <w:style w:customStyle="1" w:styleId="BodyText2Char" w:type="character">
    <w:name w:val="Body Text 2 Char"/>
    <w:basedOn w:val="DefaultParagraphFont"/>
    <w:link w:val="BodyText2"/>
    <w:rsid w:val="00422682"/>
    <w:rPr>
      <w:rFonts w:ascii="Arial" w:hAnsi="Arial"/>
    </w:rPr>
  </w:style>
  <w:style w:styleId="BodyText3" w:type="paragraph">
    <w:name w:val="Body Text 3"/>
    <w:basedOn w:val="Normal"/>
    <w:link w:val="BodyText3Char"/>
    <w:rsid w:val="00422682"/>
    <w:pPr>
      <w:spacing w:after="120"/>
    </w:pPr>
    <w:rPr>
      <w:sz w:val="16"/>
      <w:szCs w:val="16"/>
    </w:rPr>
  </w:style>
  <w:style w:customStyle="1" w:styleId="BodyText3Char" w:type="character">
    <w:name w:val="Body Text 3 Char"/>
    <w:basedOn w:val="DefaultParagraphFont"/>
    <w:link w:val="BodyText3"/>
    <w:rsid w:val="00422682"/>
    <w:rPr>
      <w:rFonts w:ascii="Arial" w:hAnsi="Arial"/>
      <w:sz w:val="16"/>
      <w:szCs w:val="16"/>
    </w:rPr>
  </w:style>
  <w:style w:styleId="BodyTextFirstIndent" w:type="paragraph">
    <w:name w:val="Body Text First Indent"/>
    <w:basedOn w:val="BodyText"/>
    <w:link w:val="BodyTextFirstIndentChar"/>
    <w:rsid w:val="00422682"/>
    <w:pPr>
      <w:spacing w:line="264" w:lineRule="auto"/>
      <w:ind w:firstLine="360"/>
      <w:jc w:val="left"/>
    </w:pPr>
  </w:style>
  <w:style w:customStyle="1" w:styleId="BodyTextFirstIndentChar" w:type="character">
    <w:name w:val="Body Text First Indent Char"/>
    <w:basedOn w:val="BodyTextChar"/>
    <w:link w:val="BodyTextFirstIndent"/>
    <w:rsid w:val="00422682"/>
    <w:rPr>
      <w:rFonts w:ascii="Arial" w:hAnsi="Arial"/>
    </w:rPr>
  </w:style>
  <w:style w:styleId="BodyTextIndent" w:type="paragraph">
    <w:name w:val="Body Text Indent"/>
    <w:basedOn w:val="Normal"/>
    <w:link w:val="BodyTextIndentChar"/>
    <w:rsid w:val="00422682"/>
    <w:pPr>
      <w:spacing w:after="120"/>
      <w:ind w:left="360"/>
    </w:pPr>
  </w:style>
  <w:style w:customStyle="1" w:styleId="BodyTextIndentChar" w:type="character">
    <w:name w:val="Body Text Indent Char"/>
    <w:basedOn w:val="DefaultParagraphFont"/>
    <w:link w:val="BodyTextIndent"/>
    <w:rsid w:val="00422682"/>
    <w:rPr>
      <w:rFonts w:ascii="Arial" w:hAnsi="Arial"/>
    </w:rPr>
  </w:style>
  <w:style w:styleId="BodyTextIndent2" w:type="paragraph">
    <w:name w:val="Body Text Indent 2"/>
    <w:basedOn w:val="Normal"/>
    <w:link w:val="BodyTextIndent2Char"/>
    <w:rsid w:val="00422682"/>
    <w:pPr>
      <w:spacing w:after="120"/>
      <w:ind w:left="360"/>
    </w:pPr>
  </w:style>
  <w:style w:customStyle="1" w:styleId="BodyTextIndent2Char" w:type="character">
    <w:name w:val="Body Text Indent 2 Char"/>
    <w:basedOn w:val="DefaultParagraphFont"/>
    <w:link w:val="BodyTextIndent2"/>
    <w:rsid w:val="00422682"/>
    <w:rPr>
      <w:rFonts w:ascii="Arial" w:hAnsi="Arial"/>
    </w:rPr>
  </w:style>
  <w:style w:styleId="BodyTextIndent3" w:type="paragraph">
    <w:name w:val="Body Text Indent 3"/>
    <w:basedOn w:val="Normal"/>
    <w:link w:val="BodyTextIndent3Char"/>
    <w:rsid w:val="00422682"/>
    <w:pPr>
      <w:spacing w:after="120"/>
      <w:ind w:left="360"/>
    </w:pPr>
    <w:rPr>
      <w:sz w:val="16"/>
      <w:szCs w:val="16"/>
    </w:rPr>
  </w:style>
  <w:style w:customStyle="1" w:styleId="BodyTextIndent3Char" w:type="character">
    <w:name w:val="Body Text Indent 3 Char"/>
    <w:basedOn w:val="DefaultParagraphFont"/>
    <w:link w:val="BodyTextIndent3"/>
    <w:rsid w:val="00422682"/>
    <w:rPr>
      <w:rFonts w:ascii="Arial" w:hAnsi="Arial"/>
      <w:sz w:val="16"/>
      <w:szCs w:val="16"/>
    </w:rPr>
  </w:style>
  <w:style w:styleId="BookTitle" w:type="character">
    <w:name w:val="Book Title"/>
    <w:basedOn w:val="DefaultParagraphFont"/>
    <w:rsid w:val="00422682"/>
    <w:rPr>
      <w:b/>
      <w:bCs/>
      <w:i/>
      <w:iCs/>
      <w:spacing w:val="5"/>
    </w:rPr>
  </w:style>
  <w:style w:styleId="NormalWeb" w:type="paragraph">
    <w:name w:val="Normal (Web)"/>
    <w:basedOn w:val="Normal"/>
    <w:rsid w:val="00422682"/>
    <w:rPr>
      <w:rFonts w:ascii="Times New Roman" w:cs="Times New Roman" w:hAnsi="Times New Roman"/>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f0267121860593360a74685cabd155d3e28a67fa"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f0267121860593360a74685cabd155d3e28a67fa/"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f0267121860593360a74685cabd155d3e28a67fa"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f0267121860593360a74685cabd155d3e28a67fa/"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1</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2022-03-28T21:52:32Z</dcterms:created>
  <dcterms:modified xsi:type="dcterms:W3CDTF">2022-03-28T21:52:32Z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